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513659</w:t>
      </w:r>
      <w:bookmarkStart w:id="8" w:name="_GoBack"/>
      <w:bookmarkEnd w:id="8"/>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Prague, Czech Republic, Oct. 13-17</w:t>
      </w:r>
      <w:r>
        <w:rPr>
          <w:rFonts w:hint="default" w:ascii="Times New Roman" w:hAnsi="Times New Roman" w:cs="Times New Roman"/>
          <w:b/>
          <w:bCs/>
          <w:sz w:val="24"/>
          <w:highlight w:val="none"/>
        </w:rPr>
        <w:t>, 2025</w:t>
      </w:r>
    </w:p>
    <w:p w14:paraId="25DD33A5">
      <w:pPr>
        <w:tabs>
          <w:tab w:val="left" w:pos="1985"/>
        </w:tabs>
        <w:rPr>
          <w:rFonts w:ascii="Times New Roman" w:hAnsi="Times New Roman"/>
          <w:b/>
          <w:sz w:val="22"/>
          <w:highlight w:val="none"/>
        </w:rPr>
      </w:pPr>
    </w:p>
    <w:p w14:paraId="4D850D59">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12.3</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bookmarkEnd w:id="2"/>
      <w:bookmarkEnd w:id="3"/>
      <w:r>
        <w:rPr>
          <w:rFonts w:ascii="Times New Roman" w:hAnsi="Times New Roman"/>
          <w:sz w:val="22"/>
          <w:highlight w:val="none"/>
        </w:rPr>
        <w:t>D</w:t>
      </w:r>
      <w:r>
        <w:rPr>
          <w:rFonts w:hint="eastAsia" w:ascii="Times New Roman" w:hAnsi="Times New Roman"/>
          <w:sz w:val="22"/>
          <w:highlight w:val="none"/>
        </w:rPr>
        <w:t xml:space="preserve">iscussion on </w:t>
      </w:r>
      <w:r>
        <w:rPr>
          <w:rFonts w:hint="eastAsia" w:ascii="Times New Roman" w:hAnsi="Times New Roman"/>
          <w:sz w:val="22"/>
          <w:highlight w:val="none"/>
          <w:lang w:val="en-US" w:eastAsia="zh-CN"/>
        </w:rPr>
        <w:t>RRM requirements for RRM measurement prediction</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1</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In RAN #</w:t>
      </w:r>
      <w:r>
        <w:rPr>
          <w:rFonts w:hint="eastAsia" w:ascii="Times New Roman" w:hAnsi="Times New Roman"/>
          <w:sz w:val="20"/>
          <w:szCs w:val="20"/>
          <w:lang w:val="en-US" w:eastAsia="zh-CN"/>
        </w:rPr>
        <w:t>109</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2</w:t>
      </w:r>
      <w:r>
        <w:rPr>
          <w:rFonts w:ascii="Times New Roman" w:hAnsi="Times New Roman"/>
          <w:sz w:val="20"/>
          <w:szCs w:val="20"/>
        </w:rPr>
        <w:t>]. The objectives for RAN4 are duplicated as following.</w:t>
      </w:r>
    </w:p>
    <w:tbl>
      <w:tblPr>
        <w:tblStyle w:val="1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3B720661">
            <w:pPr>
              <w:numPr>
                <w:ilvl w:val="0"/>
                <w:numId w:val="4"/>
              </w:numPr>
              <w:tabs>
                <w:tab w:val="left" w:pos="1440"/>
              </w:tabs>
              <w:overflowPunct/>
              <w:autoSpaceDE/>
              <w:autoSpaceDN/>
              <w:adjustRightInd/>
              <w:spacing w:after="120"/>
              <w:ind w:left="240" w:leftChars="0"/>
              <w:textAlignment w:val="auto"/>
              <w:rPr>
                <w:rFonts w:hint="default" w:ascii="Times New Roman" w:hAnsi="Times New Roman" w:eastAsia="MS Mincho" w:cs="Times New Roman"/>
                <w:bCs/>
                <w:sz w:val="20"/>
                <w:szCs w:val="20"/>
              </w:rPr>
            </w:pPr>
            <w:r>
              <w:rPr>
                <w:rFonts w:hint="default" w:ascii="Times New Roman" w:hAnsi="Times New Roman" w:eastAsia="MS Mincho" w:cs="Times New Roman"/>
                <w:bCs/>
                <w:sz w:val="20"/>
                <w:szCs w:val="20"/>
              </w:rPr>
              <w:t xml:space="preserve">For both RRM measurement prediction and measurement event prediction </w:t>
            </w:r>
            <w:r>
              <w:rPr>
                <w:rFonts w:hint="default" w:ascii="Times New Roman" w:hAnsi="Times New Roman" w:cs="Times New Roman"/>
                <w:bCs/>
                <w:sz w:val="20"/>
                <w:szCs w:val="20"/>
                <w:lang w:eastAsia="zh-CN"/>
              </w:rPr>
              <w:t xml:space="preserve">for UE sided model </w:t>
            </w:r>
            <w:r>
              <w:rPr>
                <w:rFonts w:hint="default" w:ascii="Times New Roman" w:hAnsi="Times New Roman" w:eastAsia="MS Mincho" w:cs="Times New Roman"/>
                <w:bCs/>
                <w:sz w:val="20"/>
                <w:szCs w:val="20"/>
              </w:rPr>
              <w:t>[RAN4]:</w:t>
            </w:r>
          </w:p>
          <w:p w14:paraId="206B9E1E">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Specify core requirements for the use cases and scenarios supported by the previous objectives </w:t>
            </w:r>
            <w:r>
              <w:rPr>
                <w:rFonts w:hint="default" w:ascii="Times New Roman" w:hAnsi="Times New Roman" w:cs="Times New Roman"/>
                <w:bCs/>
                <w:sz w:val="20"/>
                <w:szCs w:val="20"/>
                <w:lang w:eastAsia="zh-CN"/>
              </w:rPr>
              <w:t>for RRM measurement prediction and indirect measurement event prediction</w:t>
            </w:r>
          </w:p>
          <w:p w14:paraId="623AB6A6">
            <w:pPr>
              <w:numPr>
                <w:ilvl w:val="1"/>
                <w:numId w:val="5"/>
              </w:numPr>
              <w:overflowPunct/>
              <w:autoSpaceDE/>
              <w:autoSpaceDN/>
              <w:adjustRightInd/>
              <w:spacing w:after="120"/>
              <w:ind w:left="168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lang w:eastAsia="zh-CN"/>
              </w:rPr>
              <w:t>Note 6: RAN4 is expected to investigate whether the core requirement for RRM measurement prediction can be reused for indirect measurement event prediction</w:t>
            </w:r>
          </w:p>
          <w:p w14:paraId="63B8CB19">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For direct event prediction, study feasibility of </w:t>
            </w:r>
            <w:r>
              <w:rPr>
                <w:rFonts w:hint="default" w:ascii="Times New Roman" w:hAnsi="Times New Roman" w:cs="Times New Roman"/>
                <w:bCs/>
                <w:sz w:val="20"/>
                <w:szCs w:val="20"/>
                <w:lang w:eastAsia="zh-CN"/>
              </w:rPr>
              <w:t xml:space="preserve">core </w:t>
            </w:r>
            <w:r>
              <w:rPr>
                <w:rFonts w:hint="default" w:ascii="Times New Roman" w:hAnsi="Times New Roman" w:cs="Times New Roman"/>
                <w:bCs/>
                <w:sz w:val="20"/>
                <w:szCs w:val="20"/>
              </w:rPr>
              <w:t>requirement in Q2 2026.</w:t>
            </w:r>
          </w:p>
          <w:p w14:paraId="357CCC2B">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Specify LCM-related core requirements to support the LCM functionality management , if any</w:t>
            </w: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This </w:t>
      </w:r>
      <w:r>
        <w:rPr>
          <w:rFonts w:hint="eastAsia" w:ascii="Times New Roman" w:hAnsi="Times New Roman"/>
          <w:sz w:val="20"/>
          <w:szCs w:val="20"/>
        </w:rPr>
        <w:t>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RRM requirements for RRM measurement prediction</w:t>
      </w:r>
      <w:r>
        <w:rPr>
          <w:rFonts w:hint="eastAsia" w:ascii="Times New Roman" w:hAnsi="Times New Roman"/>
          <w:sz w:val="20"/>
          <w:szCs w:val="20"/>
        </w:rPr>
        <w:t>.</w:t>
      </w:r>
    </w:p>
    <w:p w14:paraId="17263EFA">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p w14:paraId="5947158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According to the WID, for RRM measurement prediction, temporal domain prediction case A, temporal domain prediction case B, and frequency domain prediction for co-located cases are the main target. These three use cases are also prioritized during the study phase. </w:t>
      </w:r>
    </w:p>
    <w:p w14:paraId="0738F01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Both absolute and relative accuracy of predicted L3-RSRP are considered as the candidate metrics for RRM measurement prediction use cases for intra-frequency scenario and inter-frequency scenarios. </w:t>
      </w:r>
    </w:p>
    <w:p w14:paraId="5E32FE69">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absolute accuracy of predicted L3-RSRP is defined as:</w:t>
      </w:r>
    </w:p>
    <w:p w14:paraId="6556F768">
      <w:pPr>
        <w:pStyle w:val="18"/>
        <w:keepNext w:val="0"/>
        <w:keepLines w:val="0"/>
        <w:pageBreakBefore w:val="0"/>
        <w:numPr>
          <w:ilvl w:val="0"/>
          <w:numId w:val="6"/>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Absolute accuracy of predicted L3-RSRP = reported predicted L3-RSRP – ground truth of L3-RSRP.</w:t>
      </w:r>
    </w:p>
    <w:p w14:paraId="545E34E2">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The relative accuracy of predicted L3-RSRP for intra-frequency prediction </w:t>
      </w:r>
      <w:r>
        <w:rPr>
          <w:rFonts w:hint="default" w:ascii="Times New Roman" w:hAnsi="Times New Roman" w:cs="Times New Roman"/>
          <w:sz w:val="20"/>
          <w:szCs w:val="20"/>
          <w:lang w:val="en-US" w:eastAsia="zh-CN"/>
        </w:rPr>
        <w:t>is defined as:</w:t>
      </w:r>
    </w:p>
    <w:p w14:paraId="3D1FB5B7">
      <w:pPr>
        <w:pStyle w:val="18"/>
        <w:keepNext w:val="0"/>
        <w:keepLines w:val="0"/>
        <w:pageBreakBefore w:val="0"/>
        <w:numPr>
          <w:ilvl w:val="0"/>
          <w:numId w:val="6"/>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Relative accuracy of predicted L3-RSRP = (reported predicted L3-RSRP of cell 1 – reported L3-RSRP of cell 2) – (ground truth of L3-RSRP of cell 1 – ground truth of L3-RSRP of cell 2), </w:t>
      </w:r>
    </w:p>
    <w:p w14:paraId="048B11BD">
      <w:pPr>
        <w:pStyle w:val="18"/>
        <w:keepNext w:val="0"/>
        <w:keepLines w:val="0"/>
        <w:pageBreakBefore w:val="0"/>
        <w:numPr>
          <w:ilvl w:val="1"/>
          <w:numId w:val="6"/>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cell 1 and cell 2 are on the same frequency</w:t>
      </w:r>
    </w:p>
    <w:p w14:paraId="6634347C">
      <w:pPr>
        <w:pStyle w:val="18"/>
        <w:keepNext w:val="0"/>
        <w:keepLines w:val="0"/>
        <w:pageBreakBefore w:val="0"/>
        <w:numPr>
          <w:ilvl w:val="1"/>
          <w:numId w:val="6"/>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the reported L3-RSRP of cell 2 can be measured or predicted.</w:t>
      </w:r>
    </w:p>
    <w:p w14:paraId="35A1FC63">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The relative accuracy of predicted L3-RSRP</w:t>
      </w:r>
      <w:r>
        <w:rPr>
          <w:rFonts w:hint="default" w:ascii="Times New Roman" w:hAnsi="Times New Roman" w:cs="Times New Roman"/>
          <w:sz w:val="20"/>
          <w:szCs w:val="20"/>
          <w:lang w:val="en-US" w:eastAsia="zh-CN"/>
        </w:rPr>
        <w:t xml:space="preserve"> for inter-frequency prediction is defined as:</w:t>
      </w:r>
    </w:p>
    <w:p w14:paraId="225C3703">
      <w:pPr>
        <w:pStyle w:val="18"/>
        <w:keepNext w:val="0"/>
        <w:keepLines w:val="0"/>
        <w:pageBreakBefore w:val="0"/>
        <w:numPr>
          <w:ilvl w:val="0"/>
          <w:numId w:val="6"/>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Relative accuracy of predicted L3-RSRP = (reported predicted L3-RSRP of cell 1 – reported L3-RSRP of cell 2) – (ground truth of L3-RSRP of cell 1 – ground truth of L3-RSRP of cell 2), </w:t>
      </w:r>
    </w:p>
    <w:p w14:paraId="46B727C9">
      <w:pPr>
        <w:pStyle w:val="18"/>
        <w:keepNext w:val="0"/>
        <w:keepLines w:val="0"/>
        <w:pageBreakBefore w:val="0"/>
        <w:numPr>
          <w:ilvl w:val="1"/>
          <w:numId w:val="6"/>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cell 2 is on a different frequency than cell 1 but in the same FR as cell 1</w:t>
      </w:r>
    </w:p>
    <w:p w14:paraId="7B7E1E9C">
      <w:pPr>
        <w:pStyle w:val="18"/>
        <w:keepNext w:val="0"/>
        <w:keepLines w:val="0"/>
        <w:pageBreakBefore w:val="0"/>
        <w:numPr>
          <w:ilvl w:val="1"/>
          <w:numId w:val="6"/>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the reported L3-RSRP of cell 2 can be measured or predicted.</w:t>
      </w:r>
    </w:p>
    <w:p w14:paraId="523B2C43">
      <w:pPr>
        <w:keepNext w:val="0"/>
        <w:keepLines w:val="0"/>
        <w:pageBreakBefore w:val="0"/>
        <w:kinsoku/>
        <w:wordWrap/>
        <w:overflowPunct/>
        <w:topLinePunct w:val="0"/>
        <w:autoSpaceDE/>
        <w:autoSpaceDN/>
        <w:bidi w:val="0"/>
        <w:adjustRightInd/>
        <w:snapToGrid/>
        <w:spacing w:after="18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As captured in the TR [3], i</w:t>
      </w:r>
      <w:r>
        <w:rPr>
          <w:rFonts w:hint="default" w:ascii="Times New Roman" w:hAnsi="Times New Roman" w:cs="Times New Roman"/>
          <w:sz w:val="20"/>
          <w:szCs w:val="20"/>
          <w:lang w:eastAsia="zh-CN"/>
        </w:rPr>
        <w:t>t is not precluded to update the definition based on further RAN2 progress in WI phase.</w:t>
      </w:r>
      <w:r>
        <w:rPr>
          <w:rFonts w:hint="eastAsia" w:ascii="Times New Roman" w:hAnsi="Times New Roman" w:cs="Times New Roman"/>
          <w:sz w:val="20"/>
          <w:szCs w:val="20"/>
          <w:lang w:val="en-US" w:eastAsia="zh-CN"/>
        </w:rPr>
        <w:t xml:space="preserve"> Since RAN2 work has not started, we can keep the current definition, and further check based on RAN2 progress.</w:t>
      </w:r>
    </w:p>
    <w:p w14:paraId="431DE0B4">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One issue is the ground truth. </w:t>
      </w:r>
      <w:r>
        <w:rPr>
          <w:rFonts w:hint="default" w:ascii="Times New Roman" w:hAnsi="Times New Roman" w:cs="Times New Roman"/>
          <w:sz w:val="20"/>
          <w:szCs w:val="20"/>
          <w:lang w:eastAsia="zh-CN"/>
        </w:rPr>
        <w:t xml:space="preserve">As a baseline, the ground truth of L3-RSRP in FR2 </w:t>
      </w:r>
      <w:r>
        <w:rPr>
          <w:rFonts w:hint="default" w:ascii="Times New Roman" w:hAnsi="Times New Roman" w:cs="Times New Roman"/>
          <w:sz w:val="20"/>
          <w:szCs w:val="20"/>
        </w:rPr>
        <w:t xml:space="preserve">is defined as the reported L3-RSRP measurement </w:t>
      </w:r>
      <w:r>
        <w:rPr>
          <w:rFonts w:hint="default" w:ascii="Times New Roman" w:hAnsi="Times New Roman" w:cs="Times New Roman"/>
          <w:sz w:val="20"/>
          <w:szCs w:val="20"/>
          <w:lang w:eastAsia="zh-CN"/>
        </w:rPr>
        <w:t xml:space="preserve">result </w:t>
      </w:r>
      <w:r>
        <w:rPr>
          <w:rFonts w:hint="default" w:ascii="Times New Roman" w:hAnsi="Times New Roman" w:cs="Times New Roman"/>
          <w:sz w:val="20"/>
          <w:szCs w:val="20"/>
        </w:rPr>
        <w:t>under sufficient high SNR</w:t>
      </w:r>
      <w:r>
        <w:rPr>
          <w:rFonts w:hint="default" w:ascii="Times New Roman" w:hAnsi="Times New Roman" w:cs="Times New Roman"/>
          <w:sz w:val="20"/>
          <w:szCs w:val="20"/>
          <w:lang w:eastAsia="zh-CN"/>
        </w:rPr>
        <w:t xml:space="preserve">. </w:t>
      </w:r>
      <w:r>
        <w:rPr>
          <w:rFonts w:hint="eastAsia" w:ascii="Times New Roman" w:hAnsi="Times New Roman" w:cs="Times New Roman"/>
          <w:sz w:val="20"/>
          <w:szCs w:val="20"/>
          <w:lang w:val="en-US" w:eastAsia="zh-CN"/>
        </w:rPr>
        <w:t xml:space="preserve">But the </w:t>
      </w:r>
      <w:r>
        <w:rPr>
          <w:rFonts w:hint="default" w:ascii="Times New Roman" w:hAnsi="Times New Roman" w:cs="Times New Roman"/>
          <w:sz w:val="20"/>
          <w:szCs w:val="20"/>
          <w:lang w:eastAsia="zh-CN"/>
        </w:rPr>
        <w:t>ground truth of L3-RSRP in FR1 is</w:t>
      </w:r>
      <w:r>
        <w:rPr>
          <w:rFonts w:hint="eastAsia" w:ascii="Times New Roman" w:hAnsi="Times New Roman" w:cs="Times New Roman"/>
          <w:sz w:val="20"/>
          <w:szCs w:val="20"/>
          <w:lang w:val="en-US" w:eastAsia="zh-CN"/>
        </w:rPr>
        <w:t xml:space="preserve"> open.</w:t>
      </w:r>
    </w:p>
    <w:p w14:paraId="6C42357A">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ground truth of L3-RSRP in FR1 is based on:</w:t>
      </w:r>
    </w:p>
    <w:p w14:paraId="430A6C3A">
      <w:pPr>
        <w:pStyle w:val="18"/>
        <w:keepNext w:val="0"/>
        <w:keepLines w:val="0"/>
        <w:pageBreakBefore w:val="0"/>
        <w:numPr>
          <w:ilvl w:val="0"/>
          <w:numId w:val="6"/>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Alt1: The transmitted or reception power</w:t>
      </w:r>
    </w:p>
    <w:p w14:paraId="01E6BDEC">
      <w:pPr>
        <w:pStyle w:val="18"/>
        <w:keepNext w:val="0"/>
        <w:keepLines w:val="0"/>
        <w:pageBreakBefore w:val="0"/>
        <w:numPr>
          <w:ilvl w:val="0"/>
          <w:numId w:val="6"/>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Alt2: The reported measurement value under certain conditions.</w:t>
      </w:r>
    </w:p>
    <w:p w14:paraId="2446AA3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Both alternatives have pros and cons. Table 1 provide the comparison between alternative 1 and alternative 2. Alternative 1 is the legacy way. However, some issues are identified. </w:t>
      </w:r>
      <w:r>
        <w:rPr>
          <w:rFonts w:hint="eastAsia" w:ascii="Times New Roman" w:hAnsi="Times New Roman" w:eastAsia="等线"/>
          <w:bCs/>
          <w:iCs/>
          <w:sz w:val="20"/>
          <w:szCs w:val="20"/>
          <w:lang w:val="en-US" w:eastAsia="zh-CN"/>
        </w:rPr>
        <w:t xml:space="preserve">In legacy FR1 test case set up, no L3 filtering is assumed and </w:t>
      </w:r>
      <w:r>
        <w:rPr>
          <w:rFonts w:ascii="Times New Roman" w:hAnsi="Times New Roman" w:cs="Times New Roman"/>
          <w:sz w:val="21"/>
          <w:szCs w:val="21"/>
        </w:rPr>
        <w:t>AWGN</w:t>
      </w:r>
      <w:r>
        <w:rPr>
          <w:rFonts w:ascii="Times New Roman" w:hAnsi="Times New Roman" w:cs="Times New Roman"/>
          <w:szCs w:val="21"/>
        </w:rPr>
        <w:t xml:space="preserve"> </w:t>
      </w:r>
      <w:r>
        <w:rPr>
          <w:rFonts w:ascii="Times New Roman" w:hAnsi="Times New Roman" w:cs="Times New Roman"/>
          <w:sz w:val="21"/>
          <w:szCs w:val="21"/>
        </w:rPr>
        <w:t>channel is</w:t>
      </w:r>
      <w:r>
        <w:rPr>
          <w:rFonts w:hint="eastAsia" w:ascii="Times New Roman" w:hAnsi="Times New Roman" w:cs="Times New Roman"/>
          <w:sz w:val="21"/>
          <w:szCs w:val="21"/>
          <w:lang w:val="en-US" w:eastAsia="zh-CN"/>
        </w:rPr>
        <w:t xml:space="preserve"> in use</w:t>
      </w:r>
      <w:r>
        <w:rPr>
          <w:rFonts w:hint="eastAsia" w:ascii="Times New Roman" w:hAnsi="Times New Roman" w:eastAsia="等线"/>
          <w:bCs/>
          <w:iCs/>
          <w:sz w:val="20"/>
          <w:szCs w:val="20"/>
          <w:lang w:val="en-US" w:eastAsia="zh-CN"/>
        </w:rPr>
        <w:t>. For AI test, fading channel will be employed, which means there is channel fluctuation in the time domain. If we go with alternative 1 (</w:t>
      </w:r>
      <w:r>
        <w:rPr>
          <w:rFonts w:hint="default" w:ascii="Times New Roman" w:hAnsi="Times New Roman" w:eastAsia="Yu Mincho" w:cs="Times New Roman"/>
          <w:sz w:val="20"/>
          <w:szCs w:val="20"/>
          <w:highlight w:val="none"/>
        </w:rPr>
        <w:t>Ground truth for FR1 will be based on the transmitted or reception power</w:t>
      </w:r>
      <w:r>
        <w:rPr>
          <w:rFonts w:hint="eastAsia" w:ascii="Times New Roman" w:hAnsi="Times New Roman" w:eastAsia="等线"/>
          <w:bCs/>
          <w:iCs/>
          <w:sz w:val="20"/>
          <w:szCs w:val="20"/>
          <w:lang w:val="en-US" w:eastAsia="zh-CN"/>
        </w:rPr>
        <w:t>), since UE perform L1/L3 filtering will have impact on the ideal RSRP and TE has no such information, it is difficult for TE to derive the ground truth. While for alternative 2 (</w:t>
      </w:r>
      <w:r>
        <w:rPr>
          <w:rFonts w:hint="default" w:ascii="Times New Roman" w:hAnsi="Times New Roman" w:eastAsia="Yu Mincho" w:cs="Times New Roman"/>
          <w:sz w:val="20"/>
          <w:szCs w:val="20"/>
          <w:highlight w:val="none"/>
        </w:rPr>
        <w:t>Ground truth for FR1 will be based on the reported measurement value under certain conditions</w:t>
      </w:r>
      <w:r>
        <w:rPr>
          <w:rFonts w:hint="eastAsia" w:ascii="Times New Roman" w:hAnsi="Times New Roman" w:eastAsia="等线"/>
          <w:bCs/>
          <w:iCs/>
          <w:sz w:val="20"/>
          <w:szCs w:val="20"/>
          <w:lang w:val="en-US" w:eastAsia="zh-CN"/>
        </w:rPr>
        <w:t>), issues are also observed. Considering the channel is fluctuated, the channel condition to get ground truth and the channel condition to predict is different, which will result in mismatch. And there is cheating issue since both the ground truth and predicted value are reported by UE. It is necessary to further discuss the ground truth for FR1 during the WI phase.</w:t>
      </w:r>
    </w:p>
    <w:p w14:paraId="2EEAC4DB">
      <w:pPr>
        <w:pStyle w:val="13"/>
        <w:keepNext w:val="0"/>
        <w:keepLines w:val="0"/>
        <w:pageBreakBefore w:val="0"/>
        <w:widowControl/>
        <w:numPr>
          <w:ilvl w:val="0"/>
          <w:numId w:val="0"/>
        </w:numPr>
        <w:kinsoku/>
        <w:wordWrap/>
        <w:overflowPunct/>
        <w:topLinePunct w:val="0"/>
        <w:autoSpaceDE/>
        <w:autoSpaceDN/>
        <w:bidi w:val="0"/>
        <w:adjustRightInd/>
        <w:snapToGrid/>
        <w:spacing w:before="120" w:after="120"/>
        <w:jc w:val="center"/>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Table 1 Comparison between Alternative 1 and Alternative 2 for ground truth definition for FR1</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6"/>
        <w:gridCol w:w="3780"/>
        <w:gridCol w:w="3595"/>
      </w:tblGrid>
      <w:tr w14:paraId="686FE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0A000855">
            <w:pPr>
              <w:pStyle w:val="13"/>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val="0"/>
                <w:iCs/>
                <w:sz w:val="20"/>
                <w:szCs w:val="20"/>
                <w:vertAlign w:val="baseline"/>
                <w:lang w:val="en-US" w:eastAsia="zh-CN"/>
              </w:rPr>
            </w:pPr>
          </w:p>
        </w:tc>
        <w:tc>
          <w:tcPr>
            <w:tcW w:w="3780" w:type="dxa"/>
          </w:tcPr>
          <w:p w14:paraId="53025430">
            <w:pPr>
              <w:pStyle w:val="13"/>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Alternative 1</w:t>
            </w:r>
          </w:p>
          <w:p w14:paraId="1F6D0930">
            <w:pPr>
              <w:pStyle w:val="13"/>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val="0"/>
                <w:iCs/>
                <w:sz w:val="20"/>
                <w:szCs w:val="20"/>
                <w:vertAlign w:val="baseline"/>
                <w:lang w:val="en-US" w:eastAsia="zh-CN"/>
              </w:rPr>
            </w:pPr>
            <w:r>
              <w:rPr>
                <w:rFonts w:hint="eastAsia" w:ascii="Times New Roman" w:hAnsi="Times New Roman" w:eastAsia="等线"/>
                <w:b/>
                <w:bCs w:val="0"/>
                <w:iCs/>
                <w:sz w:val="20"/>
                <w:szCs w:val="20"/>
                <w:lang w:val="en-US" w:eastAsia="zh-CN"/>
              </w:rPr>
              <w:t xml:space="preserve"> (</w:t>
            </w:r>
            <w:r>
              <w:rPr>
                <w:rFonts w:hint="default" w:ascii="Times New Roman" w:hAnsi="Times New Roman" w:eastAsia="Yu Mincho" w:cs="Times New Roman"/>
                <w:b/>
                <w:bCs w:val="0"/>
                <w:sz w:val="20"/>
                <w:szCs w:val="20"/>
                <w:highlight w:val="none"/>
              </w:rPr>
              <w:t>Ground truth for FR1 will be based on the transmitted or reception power</w:t>
            </w:r>
            <w:r>
              <w:rPr>
                <w:rFonts w:hint="eastAsia" w:ascii="Times New Roman" w:hAnsi="Times New Roman" w:eastAsia="等线"/>
                <w:b/>
                <w:bCs w:val="0"/>
                <w:iCs/>
                <w:sz w:val="20"/>
                <w:szCs w:val="20"/>
                <w:lang w:val="en-US" w:eastAsia="zh-CN"/>
              </w:rPr>
              <w:t>)</w:t>
            </w:r>
          </w:p>
        </w:tc>
        <w:tc>
          <w:tcPr>
            <w:tcW w:w="3595" w:type="dxa"/>
          </w:tcPr>
          <w:p w14:paraId="0E510D9D">
            <w:pPr>
              <w:pStyle w:val="13"/>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Alternative 2</w:t>
            </w:r>
          </w:p>
          <w:p w14:paraId="2582ECFB">
            <w:pPr>
              <w:pStyle w:val="13"/>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val="0"/>
                <w:iCs/>
                <w:sz w:val="20"/>
                <w:szCs w:val="20"/>
                <w:vertAlign w:val="baseline"/>
                <w:lang w:val="en-US" w:eastAsia="zh-CN"/>
              </w:rPr>
            </w:pPr>
            <w:r>
              <w:rPr>
                <w:rFonts w:hint="eastAsia" w:ascii="Times New Roman" w:hAnsi="Times New Roman" w:eastAsia="等线"/>
                <w:b/>
                <w:bCs w:val="0"/>
                <w:iCs/>
                <w:sz w:val="20"/>
                <w:szCs w:val="20"/>
                <w:lang w:val="en-US" w:eastAsia="zh-CN"/>
              </w:rPr>
              <w:t xml:space="preserve"> (</w:t>
            </w:r>
            <w:r>
              <w:rPr>
                <w:rFonts w:hint="default" w:ascii="Times New Roman" w:hAnsi="Times New Roman" w:eastAsia="Yu Mincho" w:cs="Times New Roman"/>
                <w:b/>
                <w:bCs w:val="0"/>
                <w:sz w:val="20"/>
                <w:szCs w:val="20"/>
                <w:highlight w:val="none"/>
              </w:rPr>
              <w:t>Ground truth for FR1 will be based on the reported measurement value under certain conditions</w:t>
            </w:r>
            <w:r>
              <w:rPr>
                <w:rFonts w:hint="eastAsia" w:ascii="Times New Roman" w:hAnsi="Times New Roman" w:eastAsia="等线"/>
                <w:b/>
                <w:bCs w:val="0"/>
                <w:iCs/>
                <w:sz w:val="20"/>
                <w:szCs w:val="20"/>
                <w:lang w:val="en-US" w:eastAsia="zh-CN"/>
              </w:rPr>
              <w:t>)</w:t>
            </w:r>
          </w:p>
        </w:tc>
      </w:tr>
      <w:tr w14:paraId="4F8CE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4130A3FC">
            <w:pPr>
              <w:pStyle w:val="13"/>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iCs/>
                <w:sz w:val="20"/>
                <w:szCs w:val="20"/>
                <w:vertAlign w:val="baseline"/>
                <w:lang w:val="en-US" w:eastAsia="zh-CN"/>
              </w:rPr>
            </w:pPr>
            <w:r>
              <w:rPr>
                <w:rFonts w:hint="default" w:ascii="Times New Roman" w:hAnsi="Times New Roman" w:eastAsia="Yu Mincho" w:cs="Times New Roman"/>
                <w:b/>
                <w:bCs/>
                <w:sz w:val="20"/>
                <w:szCs w:val="20"/>
                <w:highlight w:val="none"/>
              </w:rPr>
              <w:t>Impact of L3 filtering</w:t>
            </w:r>
          </w:p>
        </w:tc>
        <w:tc>
          <w:tcPr>
            <w:tcW w:w="3780" w:type="dxa"/>
          </w:tcPr>
          <w:p w14:paraId="07536834">
            <w:pPr>
              <w:pStyle w:val="13"/>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If L3 filtering is considered, how to perform L3 filtering is based on </w:t>
            </w:r>
            <w:r>
              <w:rPr>
                <w:rFonts w:ascii="Times New Roman" w:hAnsi="Times New Roman" w:cs="Times New Roman"/>
                <w:sz w:val="21"/>
                <w:szCs w:val="21"/>
              </w:rPr>
              <w:t>L3 filtering formula</w:t>
            </w:r>
            <w:r>
              <w:rPr>
                <w:rFonts w:hint="eastAsia" w:ascii="Times New Roman" w:hAnsi="Times New Roman" w:eastAsia="等线" w:cs="Times New Roman"/>
                <w:bCs/>
                <w:iCs/>
                <w:sz w:val="20"/>
                <w:szCs w:val="20"/>
                <w:vertAlign w:val="baseline"/>
                <w:lang w:val="en-US" w:eastAsia="zh-CN"/>
              </w:rPr>
              <w:t xml:space="preserve"> with filtering coefficient configured, and TE has no such information  </w:t>
            </w:r>
          </w:p>
        </w:tc>
        <w:tc>
          <w:tcPr>
            <w:tcW w:w="3595" w:type="dxa"/>
          </w:tcPr>
          <w:p w14:paraId="6D31A01C">
            <w:pPr>
              <w:pStyle w:val="13"/>
              <w:keepNext w:val="0"/>
              <w:keepLines w:val="0"/>
              <w:pageBreakBefore w:val="0"/>
              <w:widowControl/>
              <w:numPr>
                <w:ilvl w:val="0"/>
                <w:numId w:val="0"/>
              </w:numPr>
              <w:kinsoku/>
              <w:wordWrap/>
              <w:overflowPunct/>
              <w:topLinePunct w:val="0"/>
              <w:autoSpaceDE/>
              <w:autoSpaceDN/>
              <w:bidi w:val="0"/>
              <w:adjustRightInd/>
              <w:snapToGrid/>
              <w:spacing w:before="120" w:after="120"/>
              <w:jc w:val="center"/>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N/A</w:t>
            </w:r>
          </w:p>
        </w:tc>
      </w:tr>
      <w:tr w14:paraId="21408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146F0B70">
            <w:pPr>
              <w:pStyle w:val="13"/>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iCs/>
                <w:sz w:val="20"/>
                <w:szCs w:val="20"/>
                <w:vertAlign w:val="baseline"/>
                <w:lang w:val="en-US" w:eastAsia="zh-CN"/>
              </w:rPr>
            </w:pPr>
            <w:r>
              <w:rPr>
                <w:rFonts w:hint="default" w:ascii="Times New Roman" w:hAnsi="Times New Roman" w:eastAsia="Yu Mincho" w:cs="Times New Roman"/>
                <w:b/>
                <w:bCs/>
                <w:sz w:val="20"/>
                <w:szCs w:val="20"/>
                <w:highlight w:val="none"/>
              </w:rPr>
              <w:t>Impact of L</w:t>
            </w:r>
            <w:r>
              <w:rPr>
                <w:rFonts w:hint="eastAsia" w:ascii="Times New Roman" w:hAnsi="Times New Roman" w:cs="Times New Roman"/>
                <w:b/>
                <w:bCs/>
                <w:sz w:val="20"/>
                <w:szCs w:val="20"/>
                <w:highlight w:val="none"/>
                <w:lang w:val="en-US" w:eastAsia="zh-CN"/>
              </w:rPr>
              <w:t>1</w:t>
            </w:r>
            <w:r>
              <w:rPr>
                <w:rFonts w:hint="default" w:ascii="Times New Roman" w:hAnsi="Times New Roman" w:eastAsia="Yu Mincho" w:cs="Times New Roman"/>
                <w:b/>
                <w:bCs/>
                <w:sz w:val="20"/>
                <w:szCs w:val="20"/>
                <w:highlight w:val="none"/>
              </w:rPr>
              <w:t xml:space="preserve"> filtering</w:t>
            </w:r>
          </w:p>
        </w:tc>
        <w:tc>
          <w:tcPr>
            <w:tcW w:w="3780" w:type="dxa"/>
          </w:tcPr>
          <w:p w14:paraId="1A7685C0">
            <w:pPr>
              <w:pStyle w:val="13"/>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How to perform L1 filtering, e,g, the number of samples, whether sliding or non-sliding filtering in use, is up to UE implementation, and TE has no such information </w:t>
            </w:r>
          </w:p>
        </w:tc>
        <w:tc>
          <w:tcPr>
            <w:tcW w:w="3595" w:type="dxa"/>
          </w:tcPr>
          <w:p w14:paraId="5FEF60DA">
            <w:pPr>
              <w:pStyle w:val="13"/>
              <w:keepNext w:val="0"/>
              <w:keepLines w:val="0"/>
              <w:pageBreakBefore w:val="0"/>
              <w:widowControl/>
              <w:numPr>
                <w:ilvl w:val="0"/>
                <w:numId w:val="0"/>
              </w:numPr>
              <w:kinsoku/>
              <w:wordWrap/>
              <w:overflowPunct/>
              <w:topLinePunct w:val="0"/>
              <w:autoSpaceDE/>
              <w:autoSpaceDN/>
              <w:bidi w:val="0"/>
              <w:adjustRightInd/>
              <w:snapToGrid/>
              <w:spacing w:before="120" w:after="120"/>
              <w:jc w:val="center"/>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N/A</w:t>
            </w:r>
          </w:p>
        </w:tc>
      </w:tr>
      <w:tr w14:paraId="052D9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46EEE2D8">
            <w:pPr>
              <w:pStyle w:val="13"/>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
                <w:bCs/>
                <w:iCs/>
                <w:sz w:val="20"/>
                <w:szCs w:val="20"/>
                <w:vertAlign w:val="baseline"/>
                <w:lang w:val="en-US" w:eastAsia="zh-CN"/>
              </w:rPr>
            </w:pPr>
            <w:r>
              <w:rPr>
                <w:rFonts w:hint="eastAsia" w:ascii="Times New Roman" w:hAnsi="Times New Roman" w:eastAsia="等线" w:cs="Times New Roman"/>
                <w:b/>
                <w:bCs/>
                <w:iCs/>
                <w:sz w:val="20"/>
                <w:szCs w:val="20"/>
                <w:vertAlign w:val="baseline"/>
                <w:lang w:val="en-US" w:eastAsia="zh-CN"/>
              </w:rPr>
              <w:t>Timing window</w:t>
            </w:r>
          </w:p>
        </w:tc>
        <w:tc>
          <w:tcPr>
            <w:tcW w:w="3780" w:type="dxa"/>
          </w:tcPr>
          <w:p w14:paraId="357E0206">
            <w:pPr>
              <w:pStyle w:val="13"/>
              <w:keepNext w:val="0"/>
              <w:keepLines w:val="0"/>
              <w:pageBreakBefore w:val="0"/>
              <w:widowControl/>
              <w:numPr>
                <w:ilvl w:val="0"/>
                <w:numId w:val="0"/>
              </w:numPr>
              <w:kinsoku/>
              <w:wordWrap/>
              <w:overflowPunct/>
              <w:topLinePunct w:val="0"/>
              <w:autoSpaceDE/>
              <w:autoSpaceDN/>
              <w:bidi w:val="0"/>
              <w:adjustRightInd/>
              <w:snapToGrid/>
              <w:spacing w:before="120" w:after="120"/>
              <w:jc w:val="center"/>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N/A</w:t>
            </w:r>
          </w:p>
        </w:tc>
        <w:tc>
          <w:tcPr>
            <w:tcW w:w="3595" w:type="dxa"/>
          </w:tcPr>
          <w:p w14:paraId="7DB3FE89">
            <w:pPr>
              <w:pStyle w:val="13"/>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For Case B (target goal is to reduce measurement overhead), the time instance in prediction window will not be measured, which means UE cannot measure and report the ground truth.</w:t>
            </w:r>
          </w:p>
          <w:p w14:paraId="386830A5">
            <w:pPr>
              <w:pStyle w:val="13"/>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drawing>
                <wp:inline distT="0" distB="0" distL="114300" distR="114300">
                  <wp:extent cx="1987550" cy="91440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1987550" cy="914400"/>
                          </a:xfrm>
                          <a:prstGeom prst="rect">
                            <a:avLst/>
                          </a:prstGeom>
                          <a:noFill/>
                          <a:ln>
                            <a:noFill/>
                          </a:ln>
                        </pic:spPr>
                      </pic:pic>
                    </a:graphicData>
                  </a:graphic>
                </wp:inline>
              </w:drawing>
            </w:r>
            <w:r>
              <w:rPr>
                <w:rFonts w:hint="eastAsia" w:ascii="Times New Roman" w:hAnsi="Times New Roman" w:eastAsia="等线" w:cs="Times New Roman"/>
                <w:bCs/>
                <w:iCs/>
                <w:sz w:val="20"/>
                <w:szCs w:val="20"/>
                <w:vertAlign w:val="baseline"/>
                <w:lang w:val="en-US" w:eastAsia="zh-CN"/>
              </w:rPr>
              <w:t xml:space="preserve"> </w:t>
            </w:r>
          </w:p>
        </w:tc>
      </w:tr>
      <w:tr w14:paraId="2755C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231E3E61">
            <w:pPr>
              <w:pStyle w:val="13"/>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
                <w:bCs/>
                <w:iCs/>
                <w:sz w:val="20"/>
                <w:szCs w:val="20"/>
                <w:vertAlign w:val="baseline"/>
                <w:lang w:val="en-US" w:eastAsia="zh-CN"/>
              </w:rPr>
            </w:pPr>
            <w:r>
              <w:rPr>
                <w:rFonts w:hint="eastAsia" w:ascii="Times New Roman" w:hAnsi="Times New Roman" w:cs="Times New Roman"/>
                <w:b/>
                <w:bCs/>
                <w:sz w:val="20"/>
                <w:szCs w:val="20"/>
                <w:highlight w:val="none"/>
                <w:lang w:val="en-US" w:eastAsia="zh-CN"/>
              </w:rPr>
              <w:t>Channel condition</w:t>
            </w:r>
          </w:p>
        </w:tc>
        <w:tc>
          <w:tcPr>
            <w:tcW w:w="3780" w:type="dxa"/>
            <w:shd w:val="clear" w:color="auto" w:fill="auto"/>
            <w:vAlign w:val="top"/>
          </w:tcPr>
          <w:p w14:paraId="053C77CC">
            <w:pPr>
              <w:pStyle w:val="13"/>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firstLine="0" w:firstLineChars="0"/>
              <w:jc w:val="center"/>
              <w:textAlignment w:val="auto"/>
              <w:rPr>
                <w:rFonts w:hint="eastAsia" w:ascii="Times New Roman" w:hAnsi="Times New Roman" w:eastAsia="等线" w:cs="Times New Roman"/>
                <w:bCs/>
                <w:iCs/>
                <w:kern w:val="0"/>
                <w:sz w:val="20"/>
                <w:szCs w:val="20"/>
                <w:vertAlign w:val="baseline"/>
                <w:lang w:val="en-US" w:eastAsia="zh-CN" w:bidi="ar-SA"/>
              </w:rPr>
            </w:pPr>
            <w:r>
              <w:rPr>
                <w:rFonts w:hint="eastAsia" w:ascii="Times New Roman" w:hAnsi="Times New Roman" w:eastAsia="等线" w:cs="Times New Roman"/>
                <w:bCs/>
                <w:iCs/>
                <w:sz w:val="20"/>
                <w:szCs w:val="20"/>
                <w:vertAlign w:val="baseline"/>
                <w:lang w:val="en-US" w:eastAsia="zh-CN"/>
              </w:rPr>
              <w:t>N/A</w:t>
            </w:r>
          </w:p>
        </w:tc>
        <w:tc>
          <w:tcPr>
            <w:tcW w:w="3595" w:type="dxa"/>
          </w:tcPr>
          <w:p w14:paraId="23766A67">
            <w:pPr>
              <w:pStyle w:val="13"/>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For fading channel, the channel condition at T1 to get ground truth and the channel condition at T2 to predict is different, which result in mismatch </w:t>
            </w:r>
          </w:p>
        </w:tc>
      </w:tr>
      <w:tr w14:paraId="764F3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78CF5E4A">
            <w:pPr>
              <w:pStyle w:val="13"/>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
                <w:bCs/>
                <w:iCs/>
                <w:sz w:val="20"/>
                <w:szCs w:val="20"/>
                <w:vertAlign w:val="baseline"/>
                <w:lang w:val="en-US" w:eastAsia="zh-CN"/>
              </w:rPr>
            </w:pPr>
            <w:r>
              <w:rPr>
                <w:rFonts w:hint="eastAsia" w:ascii="Times New Roman" w:hAnsi="Times New Roman" w:eastAsia="等线" w:cs="Times New Roman"/>
                <w:b/>
                <w:bCs/>
                <w:iCs/>
                <w:sz w:val="20"/>
                <w:szCs w:val="20"/>
                <w:vertAlign w:val="baseline"/>
                <w:lang w:val="en-US" w:eastAsia="zh-CN"/>
              </w:rPr>
              <w:t>UE cheating issue</w:t>
            </w:r>
          </w:p>
        </w:tc>
        <w:tc>
          <w:tcPr>
            <w:tcW w:w="3780" w:type="dxa"/>
            <w:shd w:val="clear" w:color="auto" w:fill="auto"/>
            <w:vAlign w:val="top"/>
          </w:tcPr>
          <w:p w14:paraId="6374A768">
            <w:pPr>
              <w:pStyle w:val="13"/>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firstLine="0" w:firstLineChars="0"/>
              <w:jc w:val="center"/>
              <w:textAlignment w:val="auto"/>
              <w:rPr>
                <w:rFonts w:hint="eastAsia" w:ascii="Times New Roman" w:hAnsi="Times New Roman" w:eastAsia="等线" w:cs="Times New Roman"/>
                <w:bCs/>
                <w:iCs/>
                <w:kern w:val="0"/>
                <w:sz w:val="20"/>
                <w:szCs w:val="20"/>
                <w:vertAlign w:val="baseline"/>
                <w:lang w:val="en-US" w:eastAsia="zh-CN" w:bidi="ar-SA"/>
              </w:rPr>
            </w:pPr>
            <w:r>
              <w:rPr>
                <w:rFonts w:hint="eastAsia" w:ascii="Times New Roman" w:hAnsi="Times New Roman" w:eastAsia="等线" w:cs="Times New Roman"/>
                <w:bCs/>
                <w:iCs/>
                <w:sz w:val="20"/>
                <w:szCs w:val="20"/>
                <w:vertAlign w:val="baseline"/>
                <w:lang w:val="en-US" w:eastAsia="zh-CN"/>
              </w:rPr>
              <w:t>N/A</w:t>
            </w:r>
          </w:p>
        </w:tc>
        <w:tc>
          <w:tcPr>
            <w:tcW w:w="3595" w:type="dxa"/>
          </w:tcPr>
          <w:p w14:paraId="48F3A961">
            <w:pPr>
              <w:pStyle w:val="13"/>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Since both the ground truth and predicted value are reported by UE, there may be cheating issue</w:t>
            </w:r>
          </w:p>
        </w:tc>
      </w:tr>
    </w:tbl>
    <w:p w14:paraId="3F046DF0">
      <w:pPr>
        <w:pStyle w:val="13"/>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eastAsia="等线" w:cs="Times New Roman"/>
          <w:bCs/>
          <w:iCs/>
          <w:sz w:val="20"/>
          <w:szCs w:val="20"/>
          <w:lang w:val="en-US" w:eastAsia="zh-CN"/>
        </w:rPr>
      </w:pPr>
    </w:p>
    <w:p w14:paraId="2294783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the </w:t>
      </w:r>
      <w:r>
        <w:rPr>
          <w:rFonts w:hint="default" w:ascii="Times New Roman" w:hAnsi="Times New Roman" w:cs="Times New Roman"/>
          <w:b/>
          <w:bCs w:val="0"/>
          <w:i/>
          <w:iCs w:val="0"/>
          <w:sz w:val="20"/>
          <w:szCs w:val="20"/>
          <w:lang w:eastAsia="zh-CN"/>
        </w:rPr>
        <w:t>ground truth of L3-RSRP in FR1</w:t>
      </w:r>
      <w:r>
        <w:rPr>
          <w:rFonts w:hint="eastAsia" w:ascii="Times New Roman" w:hAnsi="Times New Roman" w:cs="Times New Roman"/>
          <w:b/>
          <w:bCs w:val="0"/>
          <w:i/>
          <w:iCs w:val="0"/>
          <w:sz w:val="20"/>
          <w:szCs w:val="20"/>
          <w:lang w:val="en-US" w:eastAsia="zh-CN"/>
        </w:rPr>
        <w:t xml:space="preserve"> need to be further discussed and determined in the work item phase.</w:t>
      </w:r>
    </w:p>
    <w:p w14:paraId="19B3C54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study phase, RAN2 agreed the KPIs about measurement reduction rate, which is defined in the temporal domain (called MRRT) by assuming same length of measurement time instances and spatial domain respectively(called MRRS). </w:t>
      </w:r>
    </w:p>
    <w:p w14:paraId="3E501AE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MRRT = skipped measurement time instances / total measurement time instances</w:t>
      </w:r>
    </w:p>
    <w:p w14:paraId="191DBE0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MRRS = skipped beams to be measured/ total beams to be measured</w:t>
      </w:r>
    </w:p>
    <w:p w14:paraId="35DB793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legacy, there is no RAN4 requirements on measurement reduction, whether to introduce related requirements for AI/ML based mobility can be further discussed.</w:t>
      </w:r>
    </w:p>
    <w:p w14:paraId="774D2B0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Another consideration is that the measurement delay requirements may also need to be newly defined for some scenarios. Taking FR1 inter-frequency inter-cell prediction as an example, prediction from low-frequency cell to high-frequency cell is expected, which means that not all configured MOs need to be measured. The legacy measurement delay is scaled with the number of MOs, which need to be updated to only consider the actually measured frequency layers. As for the intra-frequency temporal domain prediction, e.g. case B, the legacy measurement delay also need to be updated. In legacy, SMTC or MGRP is in use in the measurement delay requirements, while for temporal domain prediction, UE only measure subset of SMTC/MGRP, and predict the results of other measurement occasions. </w:t>
      </w:r>
    </w:p>
    <w:p w14:paraId="5A84EFA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for RRM measurement prediction, the measurement delay requirements need to be defined/updated</w:t>
      </w:r>
    </w:p>
    <w:p w14:paraId="1F944F9C">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intra-frequency temporal domain prediction, UE will skip some measurement occasions, which means that only subset of measurement occasions are measured, as a result, SMTC and/or MGRP cannot be directly used in the measurement delay requirements as legacy</w:t>
      </w:r>
    </w:p>
    <w:p w14:paraId="523916BB">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b/>
          <w:bCs w:val="0"/>
          <w:i/>
          <w:iCs w:val="0"/>
          <w:sz w:val="20"/>
          <w:szCs w:val="20"/>
          <w:lang w:val="en-US" w:eastAsia="zh-CN"/>
        </w:rPr>
        <w:t>For inter-frequency inter-cell frequency domain prediction, not all configured MOs need to be measuerd, which means that only the actually measured frequency layers are considered in the measurement delay requirements</w:t>
      </w:r>
    </w:p>
    <w:p w14:paraId="0465AA55">
      <w:pPr>
        <w:spacing w:after="180" w:line="240" w:lineRule="exact"/>
        <w:rPr>
          <w:rFonts w:hint="default" w:ascii="Times New Roman" w:hAnsi="Times New Roman" w:eastAsia="等线"/>
          <w:bCs/>
          <w:iCs/>
          <w:sz w:val="20"/>
          <w:szCs w:val="20"/>
          <w:lang w:val="en-US" w:eastAsia="zh-CN"/>
        </w:rPr>
      </w:pPr>
    </w:p>
    <w:bookmarkEnd w:id="6"/>
    <w:bookmarkEnd w:id="7"/>
    <w:p w14:paraId="2F63ED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eastAsia="宋体"/>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RRM requirements</w:t>
      </w:r>
      <w:r>
        <w:rPr>
          <w:rFonts w:hint="eastAsia" w:ascii="Times New Roman" w:hAnsi="Times New Roman" w:eastAsia="宋体"/>
          <w:sz w:val="20"/>
          <w:szCs w:val="20"/>
          <w:lang w:val="en-US" w:eastAsia="zh-CN"/>
        </w:rPr>
        <w:t xml:space="preserve"> for measurement event prediction</w:t>
      </w:r>
      <w:r>
        <w:rPr>
          <w:rFonts w:hint="eastAsia" w:ascii="Times New Roman" w:hAnsi="Times New Roman" w:eastAsia="宋体"/>
          <w:sz w:val="20"/>
          <w:szCs w:val="20"/>
        </w:rPr>
        <w:t>. The proposals are:</w:t>
      </w:r>
    </w:p>
    <w:p w14:paraId="549A691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the </w:t>
      </w:r>
      <w:r>
        <w:rPr>
          <w:rFonts w:hint="default" w:ascii="Times New Roman" w:hAnsi="Times New Roman" w:cs="Times New Roman"/>
          <w:b/>
          <w:bCs w:val="0"/>
          <w:i/>
          <w:iCs w:val="0"/>
          <w:sz w:val="20"/>
          <w:szCs w:val="20"/>
          <w:lang w:eastAsia="zh-CN"/>
        </w:rPr>
        <w:t>ground truth of L3-RSRP in FR1</w:t>
      </w:r>
      <w:r>
        <w:rPr>
          <w:rFonts w:hint="eastAsia" w:ascii="Times New Roman" w:hAnsi="Times New Roman" w:cs="Times New Roman"/>
          <w:b/>
          <w:bCs w:val="0"/>
          <w:i/>
          <w:iCs w:val="0"/>
          <w:sz w:val="20"/>
          <w:szCs w:val="20"/>
          <w:lang w:val="en-US" w:eastAsia="zh-CN"/>
        </w:rPr>
        <w:t xml:space="preserve"> need to be further discussed and determined in the work item phase.</w:t>
      </w:r>
    </w:p>
    <w:p w14:paraId="5B3DFEA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for RRM measurement prediction, the measurement delay requirements need to be defined/updated</w:t>
      </w:r>
    </w:p>
    <w:p w14:paraId="4C633AA9">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intra-frequency temporal domain prediction, UE will skip some measurement occasions, which means that only subset of measurement occasions are measured, as a result, SMTC and/or MGRP cannot be directly used in the measurement delay requirements as legacy</w:t>
      </w:r>
    </w:p>
    <w:p w14:paraId="02688D16">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b/>
          <w:bCs w:val="0"/>
          <w:i/>
          <w:iCs w:val="0"/>
          <w:sz w:val="20"/>
          <w:szCs w:val="20"/>
          <w:lang w:val="en-US" w:eastAsia="zh-CN"/>
        </w:rPr>
        <w:t>For inter-frequency inter-cell frequency domain prediction, not all configured MOs need to be measured, which means that only the actually measured frequency layers are considered in the measurement delay requirements</w:t>
      </w:r>
    </w:p>
    <w:p w14:paraId="6910881A">
      <w:pPr>
        <w:tabs>
          <w:tab w:val="left" w:pos="1134"/>
        </w:tabs>
        <w:spacing w:after="180" w:line="240" w:lineRule="exact"/>
        <w:rPr>
          <w:rFonts w:hint="eastAsia" w:ascii="Times New Roman" w:hAnsi="Times New Roman" w:eastAsia="宋体"/>
          <w:sz w:val="20"/>
          <w:szCs w:val="20"/>
        </w:rPr>
      </w:pPr>
    </w:p>
    <w:p w14:paraId="5F08F1C5">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F82E1F8">
      <w:pPr>
        <w:pStyle w:val="14"/>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RP-251864</w:t>
      </w:r>
      <w:r>
        <w:rPr>
          <w:rFonts w:hint="eastAsia" w:ascii="Times" w:hAnsi="Times" w:eastAsia="宋体"/>
          <w:b w:val="0"/>
          <w:sz w:val="20"/>
          <w:lang w:val="en-US" w:eastAsia="zh-CN"/>
        </w:rPr>
        <w:t>, New WI: Artificial Intelligence (AI)/Machine Learning (ML) for mobility in NR</w:t>
      </w:r>
    </w:p>
    <w:p w14:paraId="52112FFC">
      <w:pPr>
        <w:pStyle w:val="14"/>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Revised WI: Artificial Intelligence (AI)/Machine Learning (ML) for mobility in NR</w:t>
      </w:r>
    </w:p>
    <w:p w14:paraId="3EAD4D4A">
      <w:pPr>
        <w:pStyle w:val="14"/>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TR 38.744</w:t>
      </w:r>
      <w:r>
        <w:rPr>
          <w:rFonts w:hint="eastAsia" w:ascii="Times" w:hAnsi="Times" w:eastAsia="宋体"/>
          <w:b w:val="0"/>
          <w:sz w:val="20"/>
          <w:lang w:val="en-US" w:eastAsia="zh-CN"/>
        </w:rPr>
        <w:t>, Study on Artificial Intelligence (AI)/Machine Learning (ML) for Mobility in NR</w:t>
      </w:r>
    </w:p>
    <w:p w14:paraId="49198761">
      <w:pPr>
        <w:pStyle w:val="14"/>
        <w:framePr w:wrap="auto" w:vAnchor="margin" w:hAnchor="text" w:yAlign="inline"/>
        <w:ind w:right="400"/>
        <w:jc w:val="both"/>
        <w:rPr>
          <w:rFonts w:ascii="Times" w:hAnsi="Times" w:eastAsia="宋体"/>
          <w:b w:val="0"/>
          <w:sz w:val="20"/>
          <w:lang w:eastAsia="zh-CN"/>
        </w:rPr>
      </w:pPr>
    </w:p>
    <w:p w14:paraId="49C24BC8">
      <w:pPr>
        <w:pStyle w:val="14"/>
        <w:framePr w:wrap="auto" w:vAnchor="margin" w:hAnchor="text" w:yAlign="inline"/>
        <w:ind w:right="400"/>
        <w:jc w:val="both"/>
        <w:rPr>
          <w:rFonts w:ascii="Times" w:hAnsi="Times" w:eastAsia="宋体"/>
          <w:b w:val="0"/>
          <w:sz w:val="20"/>
          <w:lang w:eastAsia="zh-CN"/>
        </w:rPr>
      </w:pPr>
    </w:p>
    <w:p w14:paraId="37201D62">
      <w:pPr>
        <w:pStyle w:val="14"/>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9C10992"/>
    <w:multiLevelType w:val="multilevel"/>
    <w:tmpl w:val="59C10992"/>
    <w:lvl w:ilvl="0" w:tentative="0">
      <w:start w:val="6"/>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4">
    <w:nsid w:val="62021533"/>
    <w:multiLevelType w:val="singleLevel"/>
    <w:tmpl w:val="62021533"/>
    <w:lvl w:ilvl="0" w:tentative="0">
      <w:start w:val="1"/>
      <w:numFmt w:val="bullet"/>
      <w:lvlText w:val=""/>
      <w:lvlJc w:val="left"/>
      <w:pPr>
        <w:ind w:left="420" w:hanging="420"/>
      </w:pPr>
      <w:rPr>
        <w:rFonts w:hint="default" w:ascii="Wingdings" w:hAnsi="Wingdings"/>
      </w:rPr>
    </w:lvl>
  </w:abstractNum>
  <w:abstractNum w:abstractNumId="5">
    <w:nsid w:val="70146DC0"/>
    <w:multiLevelType w:val="multilevel"/>
    <w:tmpl w:val="70146DC0"/>
    <w:lvl w:ilvl="0" w:tentative="0">
      <w:start w:val="1"/>
      <w:numFmt w:val="bullet"/>
      <w:pStyle w:val="17"/>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6"/>
  </w:num>
  <w:num w:numId="2">
    <w:abstractNumId w:val="5"/>
  </w:num>
  <w:num w:numId="3">
    <w:abstractNumId w:val="2"/>
  </w:num>
  <w:num w:numId="4">
    <w:abstractNumId w:val="1"/>
  </w:num>
  <w:num w:numId="5">
    <w:abstractNumId w:val="7"/>
  </w:num>
  <w:num w:numId="6">
    <w:abstractNumId w:val="3"/>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01E31E1"/>
    <w:rsid w:val="00510477"/>
    <w:rsid w:val="030F42DA"/>
    <w:rsid w:val="039B37C7"/>
    <w:rsid w:val="03B64756"/>
    <w:rsid w:val="05581271"/>
    <w:rsid w:val="05611098"/>
    <w:rsid w:val="05697CEB"/>
    <w:rsid w:val="0659725C"/>
    <w:rsid w:val="08320503"/>
    <w:rsid w:val="095F3199"/>
    <w:rsid w:val="09956AAF"/>
    <w:rsid w:val="0A632019"/>
    <w:rsid w:val="0AB2039C"/>
    <w:rsid w:val="0B8B7488"/>
    <w:rsid w:val="0DF05B97"/>
    <w:rsid w:val="0E3634E0"/>
    <w:rsid w:val="0F6C5EA4"/>
    <w:rsid w:val="11144517"/>
    <w:rsid w:val="12E4180D"/>
    <w:rsid w:val="135132D0"/>
    <w:rsid w:val="13BE2E36"/>
    <w:rsid w:val="13D33102"/>
    <w:rsid w:val="13E54515"/>
    <w:rsid w:val="154B4C98"/>
    <w:rsid w:val="17C90DC6"/>
    <w:rsid w:val="192432CE"/>
    <w:rsid w:val="197233CD"/>
    <w:rsid w:val="1A015FF9"/>
    <w:rsid w:val="1E262080"/>
    <w:rsid w:val="1EA13FCF"/>
    <w:rsid w:val="1F4E59E8"/>
    <w:rsid w:val="208B1571"/>
    <w:rsid w:val="20A67B9D"/>
    <w:rsid w:val="219168A1"/>
    <w:rsid w:val="21B75A90"/>
    <w:rsid w:val="21F229A5"/>
    <w:rsid w:val="22F84732"/>
    <w:rsid w:val="29521D5A"/>
    <w:rsid w:val="296A6325"/>
    <w:rsid w:val="2A8275BB"/>
    <w:rsid w:val="2B692490"/>
    <w:rsid w:val="2BAD0C2F"/>
    <w:rsid w:val="2C811A52"/>
    <w:rsid w:val="2D092D6F"/>
    <w:rsid w:val="2DCC054E"/>
    <w:rsid w:val="2EFF4953"/>
    <w:rsid w:val="2FDE3005"/>
    <w:rsid w:val="2FED1FC2"/>
    <w:rsid w:val="302854D5"/>
    <w:rsid w:val="305C73A6"/>
    <w:rsid w:val="30DE49BA"/>
    <w:rsid w:val="319B3E73"/>
    <w:rsid w:val="31B53264"/>
    <w:rsid w:val="332C3305"/>
    <w:rsid w:val="3331778D"/>
    <w:rsid w:val="351D1843"/>
    <w:rsid w:val="36CD03FF"/>
    <w:rsid w:val="370D2F60"/>
    <w:rsid w:val="37E312B6"/>
    <w:rsid w:val="38022573"/>
    <w:rsid w:val="3850290E"/>
    <w:rsid w:val="39A706A6"/>
    <w:rsid w:val="3AF811CC"/>
    <w:rsid w:val="3D837885"/>
    <w:rsid w:val="3FF257A0"/>
    <w:rsid w:val="40BA0E25"/>
    <w:rsid w:val="41597CC1"/>
    <w:rsid w:val="44ED5522"/>
    <w:rsid w:val="45251780"/>
    <w:rsid w:val="45822D02"/>
    <w:rsid w:val="47D07441"/>
    <w:rsid w:val="486C7D0F"/>
    <w:rsid w:val="48765EF0"/>
    <w:rsid w:val="48BC1FC7"/>
    <w:rsid w:val="48BD345D"/>
    <w:rsid w:val="48C92824"/>
    <w:rsid w:val="4A924F66"/>
    <w:rsid w:val="4AAA7A11"/>
    <w:rsid w:val="4ADD1BB7"/>
    <w:rsid w:val="4CA21BEA"/>
    <w:rsid w:val="4CB30463"/>
    <w:rsid w:val="4D0F52FA"/>
    <w:rsid w:val="4EED0FC5"/>
    <w:rsid w:val="4F01352B"/>
    <w:rsid w:val="50AC3D18"/>
    <w:rsid w:val="513A24D1"/>
    <w:rsid w:val="517D38BF"/>
    <w:rsid w:val="521A547C"/>
    <w:rsid w:val="539B5A3F"/>
    <w:rsid w:val="56582839"/>
    <w:rsid w:val="5798278D"/>
    <w:rsid w:val="59324E3B"/>
    <w:rsid w:val="595545B4"/>
    <w:rsid w:val="59A65848"/>
    <w:rsid w:val="5AAC5686"/>
    <w:rsid w:val="5C491F27"/>
    <w:rsid w:val="5CF63611"/>
    <w:rsid w:val="5E176D14"/>
    <w:rsid w:val="606210AF"/>
    <w:rsid w:val="617674D6"/>
    <w:rsid w:val="61D06D08"/>
    <w:rsid w:val="61DF3A9F"/>
    <w:rsid w:val="62A70187"/>
    <w:rsid w:val="62E74204"/>
    <w:rsid w:val="652470FF"/>
    <w:rsid w:val="676E7F3D"/>
    <w:rsid w:val="67A4673A"/>
    <w:rsid w:val="68706D05"/>
    <w:rsid w:val="6AFE6DF4"/>
    <w:rsid w:val="6B2F50E5"/>
    <w:rsid w:val="6C642F64"/>
    <w:rsid w:val="6D613D4B"/>
    <w:rsid w:val="6D7D0F66"/>
    <w:rsid w:val="6DB122F8"/>
    <w:rsid w:val="6F9F112C"/>
    <w:rsid w:val="71997D14"/>
    <w:rsid w:val="71A82806"/>
    <w:rsid w:val="734C63A4"/>
    <w:rsid w:val="738B299C"/>
    <w:rsid w:val="738F6E24"/>
    <w:rsid w:val="73C17630"/>
    <w:rsid w:val="73F67ACD"/>
    <w:rsid w:val="75A5650E"/>
    <w:rsid w:val="770B4D24"/>
    <w:rsid w:val="77B91A3C"/>
    <w:rsid w:val="77F160D3"/>
    <w:rsid w:val="79670D3F"/>
    <w:rsid w:val="79DA1477"/>
    <w:rsid w:val="7C187D58"/>
    <w:rsid w:val="7CF03F88"/>
    <w:rsid w:val="7D796C4C"/>
    <w:rsid w:val="7DB24046"/>
    <w:rsid w:val="7DFD5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qFormat/>
    <w:uiPriority w:val="0"/>
    <w:pPr>
      <w:ind w:left="568" w:hanging="284"/>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6">
    <w:name w:val="Doc-text2"/>
    <w:basedOn w:val="1"/>
    <w:qFormat/>
    <w:uiPriority w:val="0"/>
    <w:pPr>
      <w:tabs>
        <w:tab w:val="left" w:pos="1622"/>
      </w:tabs>
      <w:spacing w:before="0"/>
      <w:ind w:left="1622" w:hanging="363"/>
    </w:pPr>
  </w:style>
  <w:style w:type="paragraph" w:customStyle="1" w:styleId="17">
    <w:name w:val="Agreement"/>
    <w:basedOn w:val="1"/>
    <w:next w:val="16"/>
    <w:qFormat/>
    <w:uiPriority w:val="99"/>
    <w:pPr>
      <w:numPr>
        <w:ilvl w:val="0"/>
        <w:numId w:val="2"/>
      </w:numPr>
      <w:tabs>
        <w:tab w:val="left" w:pos="1619"/>
      </w:tabs>
      <w:spacing w:before="60"/>
      <w:ind w:left="1616" w:hanging="357"/>
    </w:pPr>
    <w:rPr>
      <w:b/>
    </w:rPr>
  </w:style>
  <w:style w:type="paragraph" w:customStyle="1" w:styleId="18">
    <w:name w:val="B1"/>
    <w:basedOn w:val="9"/>
    <w:qFormat/>
    <w:uiPriority w:val="0"/>
    <w:rPr>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CMCC-Jingjing</cp:lastModifiedBy>
  <dcterms:modified xsi:type="dcterms:W3CDTF">2025-10-02T02:14:46Z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99CA3F75D69E410D84A4BB8A3F58CF13</vt:lpwstr>
  </property>
</Properties>
</file>